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7BD4" w14:textId="77777777" w:rsidR="00180D3D" w:rsidRDefault="00180D3D">
      <w:pPr>
        <w:spacing w:line="276" w:lineRule="auto"/>
        <w:rPr>
          <w:rFonts w:ascii="Barlow" w:eastAsia="Barlow" w:hAnsi="Barlow" w:cs="Barlow"/>
          <w:b/>
          <w:sz w:val="26"/>
          <w:szCs w:val="26"/>
        </w:rPr>
      </w:pPr>
    </w:p>
    <w:tbl>
      <w:tblPr>
        <w:tblStyle w:val="a"/>
        <w:tblW w:w="10950" w:type="dxa"/>
        <w:tblInd w:w="-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9450"/>
      </w:tblGrid>
      <w:tr w:rsidR="00180D3D" w14:paraId="4E681ACE" w14:textId="77777777">
        <w:trPr>
          <w:trHeight w:val="420"/>
        </w:trPr>
        <w:tc>
          <w:tcPr>
            <w:tcW w:w="1500" w:type="dxa"/>
            <w:shd w:val="clear" w:color="auto" w:fill="auto"/>
            <w:tcMar>
              <w:top w:w="45" w:type="dxa"/>
              <w:left w:w="45" w:type="dxa"/>
              <w:bottom w:w="45" w:type="dxa"/>
              <w:right w:w="45" w:type="dxa"/>
            </w:tcMar>
          </w:tcPr>
          <w:p w14:paraId="30E1373A" w14:textId="77777777" w:rsidR="00180D3D" w:rsidRDefault="00180D3D">
            <w:pPr>
              <w:widowControl w:val="0"/>
              <w:jc w:val="center"/>
              <w:rPr>
                <w:rFonts w:ascii="Barlow" w:eastAsia="Barlow" w:hAnsi="Barlow" w:cs="Barlow"/>
                <w:b/>
              </w:rPr>
            </w:pPr>
          </w:p>
          <w:p w14:paraId="4B108349" w14:textId="77777777" w:rsidR="00180D3D" w:rsidRDefault="00180D3D">
            <w:pPr>
              <w:widowControl w:val="0"/>
              <w:jc w:val="center"/>
              <w:rPr>
                <w:rFonts w:ascii="Barlow" w:eastAsia="Barlow" w:hAnsi="Barlow" w:cs="Barlow"/>
                <w:b/>
              </w:rPr>
            </w:pPr>
          </w:p>
          <w:p w14:paraId="538971D8" w14:textId="77777777" w:rsidR="00180D3D" w:rsidRDefault="00000000">
            <w:pPr>
              <w:widowControl w:val="0"/>
              <w:jc w:val="center"/>
              <w:rPr>
                <w:rFonts w:ascii="Barlow" w:eastAsia="Barlow" w:hAnsi="Barlow" w:cs="Barlow"/>
                <w:b/>
              </w:rPr>
            </w:pPr>
            <w:r>
              <w:rPr>
                <w:rFonts w:ascii="Barlow" w:eastAsia="Barlow" w:hAnsi="Barlow" w:cs="Barlow"/>
                <w:b/>
              </w:rPr>
              <w:t>Reporting Structure</w:t>
            </w:r>
          </w:p>
        </w:tc>
        <w:tc>
          <w:tcPr>
            <w:tcW w:w="9450" w:type="dxa"/>
            <w:shd w:val="clear" w:color="auto" w:fill="auto"/>
            <w:tcMar>
              <w:top w:w="170" w:type="dxa"/>
              <w:left w:w="170" w:type="dxa"/>
              <w:bottom w:w="170" w:type="dxa"/>
              <w:right w:w="170" w:type="dxa"/>
            </w:tcMar>
          </w:tcPr>
          <w:p w14:paraId="5AE13BA4" w14:textId="77777777" w:rsidR="00180D3D" w:rsidRDefault="00000000">
            <w:pPr>
              <w:widowControl w:val="0"/>
              <w:rPr>
                <w:rFonts w:ascii="Barlow" w:eastAsia="Barlow" w:hAnsi="Barlow" w:cs="Barlow"/>
                <w:sz w:val="22"/>
                <w:szCs w:val="22"/>
              </w:rPr>
            </w:pPr>
            <w:r>
              <w:rPr>
                <w:rFonts w:ascii="Barlow" w:eastAsia="Barlow" w:hAnsi="Barlow" w:cs="Barlow"/>
                <w:sz w:val="22"/>
                <w:szCs w:val="22"/>
              </w:rPr>
              <w:t>This Volunteer role reports to the assigned staff in the Sport Department of the WPFG. Sport Department Staff will include:</w:t>
            </w:r>
          </w:p>
          <w:p w14:paraId="0DB9EA0F" w14:textId="77777777" w:rsidR="00180D3D" w:rsidRDefault="00000000">
            <w:pPr>
              <w:widowControl w:val="0"/>
              <w:numPr>
                <w:ilvl w:val="0"/>
                <w:numId w:val="1"/>
              </w:numPr>
              <w:rPr>
                <w:rFonts w:ascii="Barlow" w:eastAsia="Barlow" w:hAnsi="Barlow" w:cs="Barlow"/>
                <w:sz w:val="22"/>
                <w:szCs w:val="22"/>
              </w:rPr>
            </w:pPr>
            <w:r>
              <w:rPr>
                <w:rFonts w:ascii="Barlow" w:eastAsia="Barlow" w:hAnsi="Barlow" w:cs="Barlow"/>
                <w:sz w:val="22"/>
                <w:szCs w:val="22"/>
              </w:rPr>
              <w:t>Director, Sport Operations</w:t>
            </w:r>
          </w:p>
          <w:p w14:paraId="3054EF02" w14:textId="77777777" w:rsidR="00180D3D" w:rsidRDefault="00000000">
            <w:pPr>
              <w:widowControl w:val="0"/>
              <w:numPr>
                <w:ilvl w:val="1"/>
                <w:numId w:val="1"/>
              </w:numPr>
              <w:rPr>
                <w:rFonts w:ascii="Barlow" w:eastAsia="Barlow" w:hAnsi="Barlow" w:cs="Barlow"/>
                <w:sz w:val="22"/>
                <w:szCs w:val="22"/>
              </w:rPr>
            </w:pPr>
            <w:r>
              <w:rPr>
                <w:rFonts w:ascii="Barlow" w:eastAsia="Barlow" w:hAnsi="Barlow" w:cs="Barlow"/>
                <w:sz w:val="22"/>
                <w:szCs w:val="22"/>
              </w:rPr>
              <w:t xml:space="preserve">Kira </w:t>
            </w:r>
            <w:proofErr w:type="spellStart"/>
            <w:r>
              <w:rPr>
                <w:rFonts w:ascii="Barlow" w:eastAsia="Barlow" w:hAnsi="Barlow" w:cs="Barlow"/>
                <w:sz w:val="22"/>
                <w:szCs w:val="22"/>
              </w:rPr>
              <w:t>Csikos</w:t>
            </w:r>
            <w:proofErr w:type="spellEnd"/>
          </w:p>
          <w:p w14:paraId="4561E3FC" w14:textId="77777777" w:rsidR="00180D3D" w:rsidRDefault="00000000">
            <w:pPr>
              <w:widowControl w:val="0"/>
              <w:numPr>
                <w:ilvl w:val="0"/>
                <w:numId w:val="1"/>
              </w:numPr>
              <w:rPr>
                <w:rFonts w:ascii="Barlow" w:eastAsia="Barlow" w:hAnsi="Barlow" w:cs="Barlow"/>
                <w:sz w:val="22"/>
                <w:szCs w:val="22"/>
              </w:rPr>
            </w:pPr>
            <w:r>
              <w:rPr>
                <w:rFonts w:ascii="Barlow" w:eastAsia="Barlow" w:hAnsi="Barlow" w:cs="Barlow"/>
                <w:sz w:val="22"/>
                <w:szCs w:val="22"/>
              </w:rPr>
              <w:t xml:space="preserve">Manager, Sport Operations </w:t>
            </w:r>
          </w:p>
          <w:p w14:paraId="57742698" w14:textId="77777777" w:rsidR="00180D3D" w:rsidRDefault="00000000">
            <w:pPr>
              <w:widowControl w:val="0"/>
              <w:numPr>
                <w:ilvl w:val="1"/>
                <w:numId w:val="1"/>
              </w:numPr>
              <w:rPr>
                <w:rFonts w:ascii="Barlow" w:eastAsia="Barlow" w:hAnsi="Barlow" w:cs="Barlow"/>
                <w:sz w:val="22"/>
                <w:szCs w:val="22"/>
              </w:rPr>
            </w:pPr>
            <w:r>
              <w:rPr>
                <w:rFonts w:ascii="Barlow" w:eastAsia="Barlow" w:hAnsi="Barlow" w:cs="Barlow"/>
                <w:sz w:val="22"/>
                <w:szCs w:val="22"/>
              </w:rPr>
              <w:t xml:space="preserve">Oleksandr </w:t>
            </w:r>
            <w:proofErr w:type="spellStart"/>
            <w:r>
              <w:rPr>
                <w:rFonts w:ascii="Barlow" w:eastAsia="Barlow" w:hAnsi="Barlow" w:cs="Barlow"/>
                <w:sz w:val="22"/>
                <w:szCs w:val="22"/>
              </w:rPr>
              <w:t>Onyshchenko</w:t>
            </w:r>
            <w:proofErr w:type="spellEnd"/>
          </w:p>
          <w:p w14:paraId="1DF96C37" w14:textId="77777777" w:rsidR="00180D3D" w:rsidRDefault="00000000">
            <w:pPr>
              <w:widowControl w:val="0"/>
              <w:numPr>
                <w:ilvl w:val="0"/>
                <w:numId w:val="1"/>
              </w:numPr>
              <w:rPr>
                <w:rFonts w:ascii="Barlow" w:eastAsia="Barlow" w:hAnsi="Barlow" w:cs="Barlow"/>
                <w:sz w:val="22"/>
                <w:szCs w:val="22"/>
              </w:rPr>
            </w:pPr>
            <w:r>
              <w:rPr>
                <w:rFonts w:ascii="Barlow" w:eastAsia="Barlow" w:hAnsi="Barlow" w:cs="Barlow"/>
                <w:sz w:val="22"/>
                <w:szCs w:val="22"/>
              </w:rPr>
              <w:t xml:space="preserve">Coordinator, Competition Services </w:t>
            </w:r>
          </w:p>
          <w:p w14:paraId="04B9290A" w14:textId="77777777" w:rsidR="00180D3D" w:rsidRDefault="00000000">
            <w:pPr>
              <w:widowControl w:val="0"/>
              <w:numPr>
                <w:ilvl w:val="1"/>
                <w:numId w:val="1"/>
              </w:numPr>
              <w:rPr>
                <w:rFonts w:ascii="Barlow" w:eastAsia="Barlow" w:hAnsi="Barlow" w:cs="Barlow"/>
                <w:sz w:val="22"/>
                <w:szCs w:val="22"/>
              </w:rPr>
            </w:pPr>
            <w:r>
              <w:rPr>
                <w:rFonts w:ascii="Barlow" w:eastAsia="Barlow" w:hAnsi="Barlow" w:cs="Barlow"/>
                <w:sz w:val="22"/>
                <w:szCs w:val="22"/>
              </w:rPr>
              <w:t xml:space="preserve">Alex </w:t>
            </w:r>
            <w:proofErr w:type="spellStart"/>
            <w:r>
              <w:rPr>
                <w:rFonts w:ascii="Barlow" w:eastAsia="Barlow" w:hAnsi="Barlow" w:cs="Barlow"/>
                <w:sz w:val="22"/>
                <w:szCs w:val="22"/>
              </w:rPr>
              <w:t>Stoikos</w:t>
            </w:r>
            <w:proofErr w:type="spellEnd"/>
          </w:p>
        </w:tc>
      </w:tr>
      <w:tr w:rsidR="00180D3D" w14:paraId="0996F9FE" w14:textId="77777777">
        <w:trPr>
          <w:trHeight w:val="420"/>
        </w:trPr>
        <w:tc>
          <w:tcPr>
            <w:tcW w:w="1500" w:type="dxa"/>
            <w:shd w:val="clear" w:color="auto" w:fill="auto"/>
            <w:tcMar>
              <w:top w:w="45" w:type="dxa"/>
              <w:left w:w="45" w:type="dxa"/>
              <w:bottom w:w="45" w:type="dxa"/>
              <w:right w:w="45" w:type="dxa"/>
            </w:tcMar>
          </w:tcPr>
          <w:p w14:paraId="0AD93731" w14:textId="77777777" w:rsidR="00180D3D" w:rsidRDefault="00180D3D">
            <w:pPr>
              <w:widowControl w:val="0"/>
              <w:jc w:val="center"/>
              <w:rPr>
                <w:rFonts w:ascii="Barlow" w:eastAsia="Barlow" w:hAnsi="Barlow" w:cs="Barlow"/>
                <w:b/>
              </w:rPr>
            </w:pPr>
          </w:p>
          <w:p w14:paraId="4A270AEC" w14:textId="77777777" w:rsidR="00180D3D" w:rsidRDefault="00180D3D">
            <w:pPr>
              <w:widowControl w:val="0"/>
              <w:jc w:val="center"/>
              <w:rPr>
                <w:rFonts w:ascii="Barlow" w:eastAsia="Barlow" w:hAnsi="Barlow" w:cs="Barlow"/>
                <w:b/>
              </w:rPr>
            </w:pPr>
          </w:p>
          <w:p w14:paraId="56DADB72" w14:textId="77777777" w:rsidR="00180D3D" w:rsidRDefault="00180D3D">
            <w:pPr>
              <w:widowControl w:val="0"/>
              <w:jc w:val="center"/>
              <w:rPr>
                <w:rFonts w:ascii="Barlow" w:eastAsia="Barlow" w:hAnsi="Barlow" w:cs="Barlow"/>
                <w:b/>
              </w:rPr>
            </w:pPr>
          </w:p>
          <w:p w14:paraId="25218AD8" w14:textId="77777777" w:rsidR="00180D3D" w:rsidRDefault="00180D3D">
            <w:pPr>
              <w:widowControl w:val="0"/>
              <w:jc w:val="center"/>
              <w:rPr>
                <w:rFonts w:ascii="Barlow" w:eastAsia="Barlow" w:hAnsi="Barlow" w:cs="Barlow"/>
                <w:b/>
              </w:rPr>
            </w:pPr>
          </w:p>
          <w:p w14:paraId="12D83F90" w14:textId="77777777" w:rsidR="00180D3D" w:rsidRDefault="00000000">
            <w:pPr>
              <w:widowControl w:val="0"/>
              <w:jc w:val="center"/>
              <w:rPr>
                <w:rFonts w:ascii="Barlow" w:eastAsia="Barlow" w:hAnsi="Barlow" w:cs="Barlow"/>
                <w:b/>
              </w:rPr>
            </w:pPr>
            <w:r>
              <w:rPr>
                <w:rFonts w:ascii="Barlow" w:eastAsia="Barlow" w:hAnsi="Barlow" w:cs="Barlow"/>
                <w:b/>
              </w:rPr>
              <w:t>Role Description</w:t>
            </w:r>
          </w:p>
        </w:tc>
        <w:tc>
          <w:tcPr>
            <w:tcW w:w="9450" w:type="dxa"/>
            <w:shd w:val="clear" w:color="auto" w:fill="auto"/>
            <w:tcMar>
              <w:top w:w="170" w:type="dxa"/>
              <w:left w:w="170" w:type="dxa"/>
              <w:bottom w:w="170" w:type="dxa"/>
              <w:right w:w="170" w:type="dxa"/>
            </w:tcMar>
          </w:tcPr>
          <w:p w14:paraId="0D0B288B" w14:textId="77777777" w:rsidR="00180D3D" w:rsidRDefault="00000000">
            <w:pPr>
              <w:widowControl w:val="0"/>
              <w:rPr>
                <w:rFonts w:ascii="Barlow" w:eastAsia="Barlow" w:hAnsi="Barlow" w:cs="Barlow"/>
                <w:sz w:val="22"/>
                <w:szCs w:val="22"/>
              </w:rPr>
            </w:pPr>
            <w:r>
              <w:rPr>
                <w:rFonts w:ascii="Barlow" w:eastAsia="Barlow" w:hAnsi="Barlow" w:cs="Barlow"/>
                <w:sz w:val="22"/>
                <w:szCs w:val="22"/>
              </w:rPr>
              <w:t xml:space="preserve">The technical lead will collaborate with the Sport Coordinator to recruit and schedule commissaires, have a strong understanding of street cycling rules, and the sport culture. </w:t>
            </w:r>
            <w:r>
              <w:rPr>
                <w:rFonts w:ascii="Barlow" w:eastAsia="Barlow" w:hAnsi="Barlow" w:cs="Barlow"/>
                <w:b/>
                <w:sz w:val="22"/>
                <w:szCs w:val="22"/>
                <w:u w:val="single"/>
              </w:rPr>
              <w:t>Experience(s) as a race director is a major asset.</w:t>
            </w:r>
            <w:r>
              <w:rPr>
                <w:rFonts w:ascii="Barlow" w:eastAsia="Barlow" w:hAnsi="Barlow" w:cs="Barlow"/>
                <w:sz w:val="22"/>
                <w:szCs w:val="22"/>
              </w:rPr>
              <w:t xml:space="preserve"> Strong organisational and leadership skills as well as the ability to work within a multifaceted team is an asset. Additionally, aiding in other operations like scoring, results, and medal presentation may also be required. </w:t>
            </w:r>
          </w:p>
          <w:p w14:paraId="001F1CF0" w14:textId="77777777" w:rsidR="00180D3D" w:rsidRDefault="00180D3D">
            <w:pPr>
              <w:widowControl w:val="0"/>
              <w:rPr>
                <w:rFonts w:ascii="Barlow" w:eastAsia="Barlow" w:hAnsi="Barlow" w:cs="Barlow"/>
                <w:sz w:val="22"/>
                <w:szCs w:val="22"/>
              </w:rPr>
            </w:pPr>
          </w:p>
          <w:p w14:paraId="44A5DEC1" w14:textId="77777777" w:rsidR="00180D3D" w:rsidRDefault="00000000">
            <w:pPr>
              <w:widowControl w:val="0"/>
              <w:rPr>
                <w:rFonts w:ascii="Barlow" w:eastAsia="Barlow" w:hAnsi="Barlow" w:cs="Barlow"/>
                <w:sz w:val="22"/>
                <w:szCs w:val="22"/>
              </w:rPr>
            </w:pPr>
            <w:r>
              <w:rPr>
                <w:rFonts w:ascii="Barlow" w:eastAsia="Barlow" w:hAnsi="Barlow" w:cs="Barlow"/>
                <w:sz w:val="22"/>
                <w:szCs w:val="22"/>
              </w:rPr>
              <w:t xml:space="preserve">The technical lead for the Street Cycling events will work with and coordinate a team responsible for the fit out (set up) and tear down (decommissioning) of the field of play for the Criterium (July 29th), Sprint (July 30th), Individual Time Trials (August 1st), and the Road Race (August 2nd) events taking place. </w:t>
            </w:r>
          </w:p>
          <w:p w14:paraId="2A5F7B77" w14:textId="77777777" w:rsidR="00180D3D" w:rsidRDefault="00180D3D">
            <w:pPr>
              <w:widowControl w:val="0"/>
              <w:rPr>
                <w:rFonts w:ascii="Barlow" w:eastAsia="Barlow" w:hAnsi="Barlow" w:cs="Barlow"/>
                <w:sz w:val="22"/>
                <w:szCs w:val="22"/>
              </w:rPr>
            </w:pPr>
          </w:p>
          <w:p w14:paraId="2C1054EE" w14:textId="77777777" w:rsidR="00180D3D" w:rsidRDefault="00000000">
            <w:pPr>
              <w:widowControl w:val="0"/>
              <w:rPr>
                <w:rFonts w:ascii="Barlow" w:eastAsia="Barlow" w:hAnsi="Barlow" w:cs="Barlow"/>
                <w:sz w:val="22"/>
                <w:szCs w:val="22"/>
              </w:rPr>
            </w:pPr>
            <w:r>
              <w:rPr>
                <w:rFonts w:ascii="Barlow" w:eastAsia="Barlow" w:hAnsi="Barlow" w:cs="Barlow"/>
                <w:sz w:val="22"/>
                <w:szCs w:val="22"/>
              </w:rPr>
              <w:t xml:space="preserve">The time commitment required is 4 hours per week coordinating the tasks outlined from present until the World Police and Fire Games begin.  During the Games, time commitment will be 1-2 hours for set up in addition to 2+ hours a day for the four competitions. Following the competitions, the technical lead will support in the final report of the event. This task will take 1-2 hours. </w:t>
            </w:r>
          </w:p>
        </w:tc>
      </w:tr>
      <w:tr w:rsidR="00180D3D" w14:paraId="0223B662" w14:textId="77777777">
        <w:trPr>
          <w:trHeight w:val="420"/>
        </w:trPr>
        <w:tc>
          <w:tcPr>
            <w:tcW w:w="1500" w:type="dxa"/>
            <w:shd w:val="clear" w:color="auto" w:fill="auto"/>
            <w:tcMar>
              <w:top w:w="45" w:type="dxa"/>
              <w:left w:w="45" w:type="dxa"/>
              <w:bottom w:w="45" w:type="dxa"/>
              <w:right w:w="45" w:type="dxa"/>
            </w:tcMar>
          </w:tcPr>
          <w:p w14:paraId="00013C5A" w14:textId="77777777" w:rsidR="00180D3D" w:rsidRDefault="00000000">
            <w:pPr>
              <w:widowControl w:val="0"/>
              <w:jc w:val="center"/>
              <w:rPr>
                <w:rFonts w:ascii="Barlow" w:eastAsia="Barlow" w:hAnsi="Barlow" w:cs="Barlow"/>
                <w:b/>
                <w:color w:val="FF0000"/>
              </w:rPr>
            </w:pPr>
            <w:r>
              <w:rPr>
                <w:rFonts w:ascii="Barlow" w:eastAsia="Barlow" w:hAnsi="Barlow" w:cs="Barlow"/>
                <w:b/>
              </w:rPr>
              <w:t>The Opportunity at Hand</w:t>
            </w:r>
          </w:p>
        </w:tc>
        <w:tc>
          <w:tcPr>
            <w:tcW w:w="9450" w:type="dxa"/>
            <w:shd w:val="clear" w:color="auto" w:fill="auto"/>
            <w:tcMar>
              <w:top w:w="170" w:type="dxa"/>
              <w:left w:w="170" w:type="dxa"/>
              <w:bottom w:w="170" w:type="dxa"/>
              <w:right w:w="170" w:type="dxa"/>
            </w:tcMar>
          </w:tcPr>
          <w:p w14:paraId="4A74E937" w14:textId="77777777" w:rsidR="00180D3D" w:rsidRDefault="00000000">
            <w:pPr>
              <w:widowControl w:val="0"/>
              <w:rPr>
                <w:rFonts w:ascii="Barlow" w:eastAsia="Barlow" w:hAnsi="Barlow" w:cs="Barlow"/>
                <w:sz w:val="22"/>
                <w:szCs w:val="22"/>
              </w:rPr>
            </w:pPr>
            <w:r>
              <w:rPr>
                <w:rFonts w:ascii="Barlow" w:eastAsia="Barlow" w:hAnsi="Barlow" w:cs="Barlow"/>
                <w:sz w:val="22"/>
                <w:szCs w:val="22"/>
              </w:rPr>
              <w:t xml:space="preserve">Volunteering for the 2023 World Police and Fire Games presents various opportunities for a Sport Technical Lead. You will contribute to the largest sporting event taking place in Canada this year. Through these Games, you will meet and connect with athletes from all around the world. Additionally, this position is integral to the Games, offering the chance for professional and leadership development. Most importantly, this is a rare occasion to do something extraordinary for those who serve us in extraordinary ways everyday. </w:t>
            </w:r>
          </w:p>
        </w:tc>
      </w:tr>
      <w:tr w:rsidR="00180D3D" w14:paraId="5AB9A70A" w14:textId="77777777">
        <w:trPr>
          <w:trHeight w:val="420"/>
        </w:trPr>
        <w:tc>
          <w:tcPr>
            <w:tcW w:w="1500" w:type="dxa"/>
            <w:shd w:val="clear" w:color="auto" w:fill="auto"/>
            <w:tcMar>
              <w:top w:w="45" w:type="dxa"/>
              <w:left w:w="45" w:type="dxa"/>
              <w:bottom w:w="45" w:type="dxa"/>
              <w:right w:w="45" w:type="dxa"/>
            </w:tcMar>
          </w:tcPr>
          <w:p w14:paraId="2F186EF2" w14:textId="77777777" w:rsidR="00180D3D" w:rsidRDefault="00000000">
            <w:pPr>
              <w:widowControl w:val="0"/>
              <w:jc w:val="center"/>
              <w:rPr>
                <w:rFonts w:ascii="Barlow" w:eastAsia="Barlow" w:hAnsi="Barlow" w:cs="Barlow"/>
                <w:b/>
              </w:rPr>
            </w:pPr>
            <w:r>
              <w:rPr>
                <w:rFonts w:ascii="Barlow" w:eastAsia="Barlow" w:hAnsi="Barlow" w:cs="Barlow"/>
                <w:b/>
              </w:rPr>
              <w:t>When</w:t>
            </w:r>
          </w:p>
        </w:tc>
        <w:tc>
          <w:tcPr>
            <w:tcW w:w="9450" w:type="dxa"/>
            <w:shd w:val="clear" w:color="auto" w:fill="auto"/>
            <w:tcMar>
              <w:top w:w="170" w:type="dxa"/>
              <w:left w:w="170" w:type="dxa"/>
              <w:bottom w:w="170" w:type="dxa"/>
              <w:right w:w="170" w:type="dxa"/>
            </w:tcMar>
          </w:tcPr>
          <w:p w14:paraId="57650D3C" w14:textId="77777777" w:rsidR="00180D3D" w:rsidRDefault="00000000">
            <w:pPr>
              <w:widowControl w:val="0"/>
              <w:rPr>
                <w:rFonts w:ascii="Barlow" w:eastAsia="Barlow" w:hAnsi="Barlow" w:cs="Barlow"/>
                <w:sz w:val="22"/>
                <w:szCs w:val="22"/>
              </w:rPr>
            </w:pPr>
            <w:r>
              <w:rPr>
                <w:rFonts w:ascii="Barlow" w:eastAsia="Barlow" w:hAnsi="Barlow" w:cs="Barlow"/>
                <w:sz w:val="22"/>
                <w:szCs w:val="22"/>
              </w:rPr>
              <w:t>March 15th-August 7th</w:t>
            </w:r>
          </w:p>
        </w:tc>
      </w:tr>
      <w:tr w:rsidR="00180D3D" w14:paraId="49471369" w14:textId="77777777">
        <w:trPr>
          <w:trHeight w:val="420"/>
        </w:trPr>
        <w:tc>
          <w:tcPr>
            <w:tcW w:w="1500" w:type="dxa"/>
            <w:shd w:val="clear" w:color="auto" w:fill="auto"/>
            <w:tcMar>
              <w:top w:w="45" w:type="dxa"/>
              <w:left w:w="45" w:type="dxa"/>
              <w:bottom w:w="45" w:type="dxa"/>
              <w:right w:w="45" w:type="dxa"/>
            </w:tcMar>
          </w:tcPr>
          <w:p w14:paraId="1F4A0838" w14:textId="77777777" w:rsidR="00180D3D" w:rsidRDefault="00000000">
            <w:pPr>
              <w:widowControl w:val="0"/>
              <w:jc w:val="center"/>
              <w:rPr>
                <w:rFonts w:ascii="Barlow" w:eastAsia="Barlow" w:hAnsi="Barlow" w:cs="Barlow"/>
                <w:b/>
              </w:rPr>
            </w:pPr>
            <w:r>
              <w:rPr>
                <w:rFonts w:ascii="Barlow" w:eastAsia="Barlow" w:hAnsi="Barlow" w:cs="Barlow"/>
                <w:b/>
              </w:rPr>
              <w:lastRenderedPageBreak/>
              <w:t>Contact</w:t>
            </w:r>
          </w:p>
        </w:tc>
        <w:tc>
          <w:tcPr>
            <w:tcW w:w="9450" w:type="dxa"/>
            <w:shd w:val="clear" w:color="auto" w:fill="auto"/>
            <w:tcMar>
              <w:top w:w="170" w:type="dxa"/>
              <w:left w:w="170" w:type="dxa"/>
              <w:bottom w:w="170" w:type="dxa"/>
              <w:right w:w="170" w:type="dxa"/>
            </w:tcMar>
          </w:tcPr>
          <w:p w14:paraId="762A2129" w14:textId="77777777" w:rsidR="00180D3D" w:rsidRDefault="00000000">
            <w:pPr>
              <w:widowControl w:val="0"/>
              <w:rPr>
                <w:rFonts w:ascii="Barlow" w:eastAsia="Barlow" w:hAnsi="Barlow" w:cs="Barlow"/>
                <w:sz w:val="22"/>
                <w:szCs w:val="22"/>
              </w:rPr>
            </w:pPr>
            <w:r>
              <w:rPr>
                <w:rFonts w:ascii="Barlow" w:eastAsia="Barlow" w:hAnsi="Barlow" w:cs="Barlow"/>
                <w:sz w:val="22"/>
                <w:szCs w:val="22"/>
              </w:rPr>
              <w:t xml:space="preserve">If interested, please contact </w:t>
            </w:r>
            <w:hyperlink r:id="rId7">
              <w:r>
                <w:rPr>
                  <w:rFonts w:ascii="Barlow" w:eastAsia="Barlow" w:hAnsi="Barlow" w:cs="Barlow"/>
                  <w:color w:val="1155CC"/>
                  <w:sz w:val="22"/>
                  <w:szCs w:val="22"/>
                  <w:u w:val="single"/>
                </w:rPr>
                <w:t>astoikos@wpfg2023.com</w:t>
              </w:r>
            </w:hyperlink>
            <w:r>
              <w:rPr>
                <w:rFonts w:ascii="Barlow" w:eastAsia="Barlow" w:hAnsi="Barlow" w:cs="Barlow"/>
                <w:sz w:val="22"/>
                <w:szCs w:val="22"/>
              </w:rPr>
              <w:t xml:space="preserve"> </w:t>
            </w:r>
          </w:p>
        </w:tc>
      </w:tr>
    </w:tbl>
    <w:p w14:paraId="46C0842D" w14:textId="77777777" w:rsidR="00180D3D" w:rsidRDefault="00180D3D">
      <w:pPr>
        <w:spacing w:line="280" w:lineRule="auto"/>
        <w:rPr>
          <w:rFonts w:ascii="Barlow Light" w:eastAsia="Barlow Light" w:hAnsi="Barlow Light" w:cs="Barlow Light"/>
          <w:sz w:val="18"/>
          <w:szCs w:val="18"/>
        </w:rPr>
      </w:pPr>
      <w:bookmarkStart w:id="0" w:name="_xv20itxyubfq" w:colFirst="0" w:colLast="0"/>
      <w:bookmarkEnd w:id="0"/>
    </w:p>
    <w:sectPr w:rsidR="00180D3D">
      <w:headerReference w:type="even" r:id="rId8"/>
      <w:headerReference w:type="default" r:id="rId9"/>
      <w:headerReference w:type="first" r:id="rId10"/>
      <w:pgSz w:w="12240" w:h="15840"/>
      <w:pgMar w:top="3816" w:right="1728" w:bottom="1440" w:left="172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F8EE" w14:textId="77777777" w:rsidR="008040EC" w:rsidRDefault="008040EC">
      <w:r>
        <w:separator/>
      </w:r>
    </w:p>
  </w:endnote>
  <w:endnote w:type="continuationSeparator" w:id="0">
    <w:p w14:paraId="1381576D" w14:textId="77777777" w:rsidR="008040EC" w:rsidRDefault="0080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Barlow">
    <w:charset w:val="00"/>
    <w:family w:val="auto"/>
    <w:pitch w:val="variable"/>
    <w:sig w:usb0="20000007" w:usb1="00000000" w:usb2="00000000" w:usb3="00000000" w:csb0="00000193" w:csb1="00000000"/>
  </w:font>
  <w:font w:name="Barlow Light">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9B52" w14:textId="77777777" w:rsidR="008040EC" w:rsidRDefault="008040EC">
      <w:r>
        <w:separator/>
      </w:r>
    </w:p>
  </w:footnote>
  <w:footnote w:type="continuationSeparator" w:id="0">
    <w:p w14:paraId="5F8236DB" w14:textId="77777777" w:rsidR="008040EC" w:rsidRDefault="00804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A95D" w14:textId="77777777" w:rsidR="00180D3D" w:rsidRDefault="00000000">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60288" behindDoc="1" locked="0" layoutInCell="1" hidden="0" allowOverlap="1" wp14:anchorId="19D77DEE" wp14:editId="7B06C044">
          <wp:simplePos x="0" y="0"/>
          <wp:positionH relativeFrom="margin">
            <wp:align>center</wp:align>
          </wp:positionH>
          <wp:positionV relativeFrom="margin">
            <wp:align>center</wp:align>
          </wp:positionV>
          <wp:extent cx="7772400" cy="100584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15F9" w14:textId="77777777" w:rsidR="00180D3D" w:rsidRDefault="00000000">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8240" behindDoc="1" locked="0" layoutInCell="1" hidden="0" allowOverlap="1" wp14:anchorId="4D0AE25E" wp14:editId="359B1F1E">
          <wp:simplePos x="0" y="0"/>
          <wp:positionH relativeFrom="margin">
            <wp:posOffset>-1142999</wp:posOffset>
          </wp:positionH>
          <wp:positionV relativeFrom="margin">
            <wp:posOffset>-2514599</wp:posOffset>
          </wp:positionV>
          <wp:extent cx="7860665" cy="101727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60665" cy="101727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4518" w14:textId="77777777" w:rsidR="00180D3D" w:rsidRDefault="00000000">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9264" behindDoc="1" locked="0" layoutInCell="1" hidden="0" allowOverlap="1" wp14:anchorId="1B059C1D" wp14:editId="4142D2B0">
          <wp:simplePos x="0" y="0"/>
          <wp:positionH relativeFrom="margin">
            <wp:align>center</wp:align>
          </wp:positionH>
          <wp:positionV relativeFrom="margin">
            <wp:align>center</wp:align>
          </wp:positionV>
          <wp:extent cx="7772400" cy="100584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67FE8"/>
    <w:multiLevelType w:val="multilevel"/>
    <w:tmpl w:val="89E6E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2556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D3D"/>
    <w:rsid w:val="00180D3D"/>
    <w:rsid w:val="008040EC"/>
    <w:rsid w:val="00934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7F4F"/>
  <w15:docId w15:val="{EAD8AEBE-672A-4F1B-ADBD-5D13095E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oikos@wpfg202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Cycling Manitoba</dc:creator>
  <cp:lastModifiedBy>Cycling Manitoba</cp:lastModifiedBy>
  <cp:revision>2</cp:revision>
  <dcterms:created xsi:type="dcterms:W3CDTF">2023-03-13T16:09:00Z</dcterms:created>
  <dcterms:modified xsi:type="dcterms:W3CDTF">2023-03-13T16:09:00Z</dcterms:modified>
</cp:coreProperties>
</file>